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71F0" w:rsidRPr="00E271F0" w:rsidRDefault="00E271F0" w:rsidP="00E271F0">
      <w:pPr>
        <w:pStyle w:val="berschrift3"/>
        <w:spacing w:before="0"/>
        <w:jc w:val="both"/>
        <w:rPr>
          <w:rFonts w:ascii="Arial" w:hAnsi="Arial" w:cs="Arial"/>
          <w:b w:val="0"/>
          <w:color w:val="auto"/>
          <w:lang w:val="en-GB"/>
        </w:rPr>
      </w:pPr>
    </w:p>
    <w:p w:rsidR="00E271F0" w:rsidRPr="00E271F0" w:rsidRDefault="00242E8B" w:rsidP="00E271F0">
      <w:pPr>
        <w:pStyle w:val="berschrift3"/>
        <w:spacing w:before="0"/>
        <w:jc w:val="both"/>
        <w:rPr>
          <w:rFonts w:ascii="Arial" w:hAnsi="Arial" w:cs="Arial"/>
          <w:b w:val="0"/>
          <w:color w:val="auto"/>
          <w:lang w:val="en-GB"/>
        </w:rPr>
      </w:pPr>
      <w:r>
        <w:rPr>
          <w:rFonts w:ascii="Arial" w:hAnsi="Arial" w:cs="Arial"/>
          <w:b w:val="0"/>
          <w:color w:val="auto"/>
          <w:lang w:val="en-GB"/>
        </w:rPr>
        <w:t>4</w:t>
      </w:r>
      <w:r w:rsidRPr="00242E8B">
        <w:rPr>
          <w:rFonts w:ascii="Arial" w:hAnsi="Arial" w:cs="Arial"/>
          <w:b w:val="0"/>
          <w:color w:val="auto"/>
          <w:vertAlign w:val="superscript"/>
          <w:lang w:val="en-GB"/>
        </w:rPr>
        <w:t>th</w:t>
      </w:r>
      <w:r>
        <w:rPr>
          <w:rFonts w:ascii="Arial" w:hAnsi="Arial" w:cs="Arial"/>
          <w:b w:val="0"/>
          <w:color w:val="auto"/>
          <w:lang w:val="en-GB"/>
        </w:rPr>
        <w:t xml:space="preserve"> </w:t>
      </w:r>
      <w:r w:rsidR="00E271F0">
        <w:rPr>
          <w:rFonts w:ascii="Arial" w:hAnsi="Arial" w:cs="Arial"/>
          <w:b w:val="0"/>
          <w:color w:val="auto"/>
          <w:lang w:val="en-GB"/>
        </w:rPr>
        <w:t>August 2016</w:t>
      </w:r>
    </w:p>
    <w:p w:rsidR="00E271F0" w:rsidRPr="00E271F0" w:rsidRDefault="00E271F0" w:rsidP="00E271F0">
      <w:pPr>
        <w:pStyle w:val="berschrift3"/>
        <w:spacing w:before="0"/>
        <w:jc w:val="both"/>
        <w:rPr>
          <w:rFonts w:ascii="Arial" w:hAnsi="Arial" w:cs="Arial"/>
          <w:b w:val="0"/>
          <w:color w:val="auto"/>
          <w:lang w:val="en-GB"/>
        </w:rPr>
      </w:pPr>
    </w:p>
    <w:p w:rsidR="00E271F0" w:rsidRPr="005F03E6" w:rsidRDefault="00E271F0" w:rsidP="00E271F0">
      <w:pPr>
        <w:pStyle w:val="berschrift3"/>
        <w:spacing w:before="0"/>
        <w:jc w:val="both"/>
        <w:rPr>
          <w:rFonts w:ascii="Arial" w:hAnsi="Arial" w:cs="Arial"/>
          <w:color w:val="auto"/>
          <w:lang w:val="en-GB"/>
        </w:rPr>
      </w:pPr>
      <w:r>
        <w:rPr>
          <w:rFonts w:ascii="Arial" w:hAnsi="Arial" w:cs="Arial"/>
          <w:color w:val="auto"/>
          <w:lang w:val="en-GB"/>
        </w:rPr>
        <w:t>YOKOHAMA</w:t>
      </w:r>
      <w:r w:rsidRPr="00E271F0">
        <w:rPr>
          <w:rFonts w:ascii="Arial" w:hAnsi="Arial" w:cs="Arial"/>
          <w:color w:val="auto"/>
          <w:lang w:val="en-GB"/>
        </w:rPr>
        <w:t xml:space="preserve"> launches all-new conveyor belt cover compound “Tuftex α” for </w:t>
      </w:r>
      <w:r w:rsidRPr="005F03E6">
        <w:rPr>
          <w:rFonts w:ascii="Arial" w:hAnsi="Arial" w:cs="Arial"/>
          <w:color w:val="auto"/>
          <w:lang w:val="en-GB"/>
        </w:rPr>
        <w:t>mining and port customers</w:t>
      </w:r>
    </w:p>
    <w:p w:rsidR="00E271F0" w:rsidRPr="005F03E6" w:rsidRDefault="00E271F0" w:rsidP="00E271F0">
      <w:pPr>
        <w:rPr>
          <w:rFonts w:ascii="Arial" w:hAnsi="Arial" w:cs="Arial"/>
          <w:lang w:val="en-GB"/>
        </w:rPr>
      </w:pPr>
    </w:p>
    <w:p w:rsidR="00E271F0" w:rsidRDefault="00E271F0" w:rsidP="00E271F0">
      <w:pPr>
        <w:pStyle w:val="StandardWeb"/>
        <w:spacing w:before="0" w:beforeAutospacing="0" w:after="0" w:afterAutospacing="0"/>
        <w:jc w:val="both"/>
        <w:rPr>
          <w:rFonts w:ascii="Arial" w:hAnsi="Arial" w:cs="Arial"/>
          <w:lang w:val="en-GB"/>
        </w:rPr>
      </w:pPr>
      <w:r w:rsidRPr="005F03E6">
        <w:rPr>
          <w:rFonts w:ascii="Arial" w:hAnsi="Arial" w:cs="Arial"/>
          <w:lang w:val="en-GB"/>
        </w:rPr>
        <w:t xml:space="preserve">Tokyo – The Yokohama Rubber Co., Ltd., announced today the launch of “Tuftex α”, </w:t>
      </w:r>
      <w:r w:rsidR="00DC19FB" w:rsidRPr="005F03E6">
        <w:rPr>
          <w:rFonts w:ascii="Arial" w:hAnsi="Arial" w:cs="Arial"/>
          <w:lang w:val="en-GB"/>
        </w:rPr>
        <w:t>its</w:t>
      </w:r>
      <w:r w:rsidRPr="005F03E6">
        <w:rPr>
          <w:rFonts w:ascii="Arial" w:hAnsi="Arial" w:cs="Arial"/>
          <w:lang w:val="en-GB"/>
        </w:rPr>
        <w:t xml:space="preserve"> newest</w:t>
      </w:r>
      <w:r w:rsidRPr="00E271F0">
        <w:rPr>
          <w:rFonts w:ascii="Arial" w:hAnsi="Arial" w:cs="Arial"/>
          <w:lang w:val="en-GB"/>
        </w:rPr>
        <w:t xml:space="preserve"> conveyor belt cover compound. The new product is specially designed for </w:t>
      </w:r>
      <w:r w:rsidR="00DC19FB">
        <w:rPr>
          <w:rFonts w:ascii="Arial" w:hAnsi="Arial" w:cs="Arial"/>
          <w:lang w:val="en-GB"/>
        </w:rPr>
        <w:t xml:space="preserve">the </w:t>
      </w:r>
      <w:r w:rsidRPr="00E271F0">
        <w:rPr>
          <w:rFonts w:ascii="Arial" w:hAnsi="Arial" w:cs="Arial"/>
          <w:lang w:val="en-GB"/>
        </w:rPr>
        <w:t>us</w:t>
      </w:r>
      <w:r w:rsidR="00DC19FB">
        <w:rPr>
          <w:rFonts w:ascii="Arial" w:hAnsi="Arial" w:cs="Arial"/>
          <w:lang w:val="en-GB"/>
        </w:rPr>
        <w:t>age</w:t>
      </w:r>
      <w:r w:rsidRPr="00E271F0">
        <w:rPr>
          <w:rFonts w:ascii="Arial" w:hAnsi="Arial" w:cs="Arial"/>
          <w:lang w:val="en-GB"/>
        </w:rPr>
        <w:t xml:space="preserve"> on the most demanding applications, such as high-capacity reclaimers handling iron ore and coal at port stock yard facilities. The new cover compound features Y</w:t>
      </w:r>
      <w:r w:rsidR="00DC19FB">
        <w:rPr>
          <w:rFonts w:ascii="Arial" w:hAnsi="Arial" w:cs="Arial"/>
          <w:lang w:val="en-GB"/>
        </w:rPr>
        <w:t>OKOHAMA</w:t>
      </w:r>
      <w:r w:rsidRPr="00E271F0">
        <w:rPr>
          <w:rFonts w:ascii="Arial" w:hAnsi="Arial" w:cs="Arial"/>
          <w:lang w:val="en-GB"/>
        </w:rPr>
        <w:t>’s advanced rubber compounding technology, achieving the highest level of abrasion resistance, and consequently providing longer service life. Reclaimers transport large volumes of materials in a short period of time, running their conveyor belts at high speeds, and thus subjecting the belt to severe abrasion. Reclaimer conveyors require belts that are suitable for high-severity use and ar</w:t>
      </w:r>
      <w:r>
        <w:rPr>
          <w:rFonts w:ascii="Arial" w:hAnsi="Arial" w:cs="Arial"/>
          <w:lang w:val="en-GB"/>
        </w:rPr>
        <w:t>e extremely abrasion resistant.</w:t>
      </w:r>
    </w:p>
    <w:p w:rsidR="00E271F0" w:rsidRDefault="00E271F0" w:rsidP="00E271F0">
      <w:pPr>
        <w:pStyle w:val="StandardWeb"/>
        <w:spacing w:before="0" w:beforeAutospacing="0" w:after="0" w:afterAutospacing="0"/>
        <w:jc w:val="both"/>
        <w:rPr>
          <w:rFonts w:ascii="Arial" w:hAnsi="Arial" w:cs="Arial"/>
          <w:lang w:val="en-GB"/>
        </w:rPr>
      </w:pPr>
    </w:p>
    <w:p w:rsidR="00E271F0" w:rsidRDefault="00DC19FB" w:rsidP="00E271F0">
      <w:pPr>
        <w:pStyle w:val="StandardWeb"/>
        <w:spacing w:before="0" w:beforeAutospacing="0" w:after="0" w:afterAutospacing="0"/>
        <w:jc w:val="both"/>
        <w:rPr>
          <w:rFonts w:ascii="Arial" w:hAnsi="Arial" w:cs="Arial"/>
          <w:lang w:val="en-GB"/>
        </w:rPr>
      </w:pPr>
      <w:r>
        <w:rPr>
          <w:rFonts w:ascii="Arial" w:hAnsi="Arial" w:cs="Arial"/>
          <w:lang w:val="en-GB"/>
        </w:rPr>
        <w:t xml:space="preserve">YOKOHAMA´s </w:t>
      </w:r>
      <w:r w:rsidR="00E271F0" w:rsidRPr="00E271F0">
        <w:rPr>
          <w:rFonts w:ascii="Arial" w:hAnsi="Arial" w:cs="Arial"/>
          <w:lang w:val="en-GB"/>
        </w:rPr>
        <w:t>General Manager of Industrial Products Engineering Dep</w:t>
      </w:r>
      <w:r>
        <w:rPr>
          <w:rFonts w:ascii="Arial" w:hAnsi="Arial" w:cs="Arial"/>
          <w:lang w:val="en-GB"/>
        </w:rPr>
        <w:t>ar</w:t>
      </w:r>
      <w:r w:rsidR="00E271F0" w:rsidRPr="00E271F0">
        <w:rPr>
          <w:rFonts w:ascii="Arial" w:hAnsi="Arial" w:cs="Arial"/>
          <w:lang w:val="en-GB"/>
        </w:rPr>
        <w:t>t</w:t>
      </w:r>
      <w:r>
        <w:rPr>
          <w:rFonts w:ascii="Arial" w:hAnsi="Arial" w:cs="Arial"/>
          <w:lang w:val="en-GB"/>
        </w:rPr>
        <w:t xml:space="preserve">ment </w:t>
      </w:r>
      <w:r w:rsidR="00E271F0" w:rsidRPr="00E271F0">
        <w:rPr>
          <w:rFonts w:ascii="Arial" w:hAnsi="Arial" w:cs="Arial"/>
          <w:lang w:val="en-GB"/>
        </w:rPr>
        <w:t xml:space="preserve">said, “Our goal was to develop a new cover compound with superior abrasion resistance which would contribute to minimize downtime for our customers. By carrying out a number of field trials, using </w:t>
      </w:r>
      <w:r>
        <w:rPr>
          <w:rFonts w:ascii="Arial" w:hAnsi="Arial" w:cs="Arial"/>
          <w:lang w:val="en-GB"/>
        </w:rPr>
        <w:t>proprietary evaluation criteria</w:t>
      </w:r>
      <w:r w:rsidR="00E271F0" w:rsidRPr="00E271F0">
        <w:rPr>
          <w:rFonts w:ascii="Arial" w:hAnsi="Arial" w:cs="Arial"/>
          <w:lang w:val="en-GB"/>
        </w:rPr>
        <w:t>, and making fine adjustments at the compound level, we were able to develop “Tuftex α” with an abrasion resistance of 64% better than our existing Super Wear Resistant (SWR) cover compound. The new belt’s superior durability also makes it ideal for prolonged use under harsh environmental conditions, such as exposure to ultraviolet rays of the blazing sun. We are currently in the process of developing another cover compound with even better abrasion resistance in order to better serve mining and port customers with unique requirement.</w:t>
      </w:r>
    </w:p>
    <w:p w:rsidR="00E271F0" w:rsidRDefault="00E271F0" w:rsidP="00E271F0">
      <w:pPr>
        <w:pStyle w:val="StandardWeb"/>
        <w:spacing w:before="0" w:beforeAutospacing="0" w:after="0" w:afterAutospacing="0"/>
        <w:jc w:val="both"/>
        <w:rPr>
          <w:rFonts w:ascii="Arial" w:hAnsi="Arial" w:cs="Arial"/>
          <w:lang w:val="en-GB"/>
        </w:rPr>
      </w:pPr>
    </w:p>
    <w:p w:rsidR="00E271F0" w:rsidRDefault="00E271F0" w:rsidP="00E271F0">
      <w:pPr>
        <w:pStyle w:val="StandardWeb"/>
        <w:spacing w:before="0" w:beforeAutospacing="0" w:after="0" w:afterAutospacing="0"/>
        <w:jc w:val="both"/>
        <w:rPr>
          <w:rFonts w:ascii="Arial" w:hAnsi="Arial" w:cs="Arial"/>
          <w:lang w:val="en-GB"/>
        </w:rPr>
      </w:pPr>
      <w:r w:rsidRPr="00E271F0">
        <w:rPr>
          <w:rFonts w:ascii="Arial" w:hAnsi="Arial" w:cs="Arial"/>
          <w:lang w:val="en-GB"/>
        </w:rPr>
        <w:t xml:space="preserve">By introducing the value-added and high-durability “Tuftex α”, </w:t>
      </w:r>
      <w:r w:rsidR="00831126">
        <w:rPr>
          <w:rFonts w:ascii="Arial" w:hAnsi="Arial" w:cs="Arial"/>
          <w:lang w:val="en-GB"/>
        </w:rPr>
        <w:t>YOKOHAMA</w:t>
      </w:r>
      <w:r w:rsidRPr="00E271F0">
        <w:rPr>
          <w:rFonts w:ascii="Arial" w:hAnsi="Arial" w:cs="Arial"/>
          <w:lang w:val="en-GB"/>
        </w:rPr>
        <w:t xml:space="preserve"> strengthens its line-up of conveyor belts and expands its market presence before the most demanding applications.</w:t>
      </w:r>
    </w:p>
    <w:p w:rsidR="00E271F0" w:rsidRPr="00E271F0" w:rsidRDefault="00E271F0" w:rsidP="00E271F0">
      <w:pPr>
        <w:pStyle w:val="StandardWeb"/>
        <w:spacing w:before="0" w:beforeAutospacing="0" w:after="0" w:afterAutospacing="0"/>
        <w:jc w:val="center"/>
        <w:rPr>
          <w:rFonts w:ascii="Arial" w:hAnsi="Arial" w:cs="Arial"/>
          <w:b/>
          <w:i/>
          <w:sz w:val="16"/>
          <w:szCs w:val="16"/>
          <w:lang w:val="en-GB"/>
        </w:rPr>
      </w:pPr>
    </w:p>
    <w:p w:rsidR="00E271F0" w:rsidRPr="00E271F0" w:rsidRDefault="00E271F0" w:rsidP="00E271F0">
      <w:pPr>
        <w:jc w:val="center"/>
        <w:rPr>
          <w:rFonts w:ascii="Arial" w:hAnsi="Arial" w:cs="Arial"/>
          <w:b/>
          <w:i/>
          <w:sz w:val="16"/>
          <w:szCs w:val="16"/>
          <w:lang w:val="en-GB"/>
        </w:rPr>
      </w:pPr>
      <w:r w:rsidRPr="00E271F0">
        <w:rPr>
          <w:rFonts w:ascii="Arial" w:hAnsi="Arial" w:cs="Arial"/>
          <w:b/>
          <w:i/>
          <w:noProof/>
          <w:sz w:val="16"/>
          <w:szCs w:val="16"/>
          <w:lang w:val="en-GB"/>
        </w:rPr>
        <w:drawing>
          <wp:inline distT="0" distB="0" distL="0" distR="0">
            <wp:extent cx="4287520" cy="2933065"/>
            <wp:effectExtent l="19050" t="0" r="0" b="0"/>
            <wp:docPr id="8" name="Bild 1" descr="“Tuftex α” is suitable for recla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ftex α” is suitable for reclaimer"/>
                    <pic:cNvPicPr>
                      <a:picLocks noChangeAspect="1" noChangeArrowheads="1"/>
                    </pic:cNvPicPr>
                  </pic:nvPicPr>
                  <pic:blipFill>
                    <a:blip r:embed="rId7" cstate="print"/>
                    <a:srcRect/>
                    <a:stretch>
                      <a:fillRect/>
                    </a:stretch>
                  </pic:blipFill>
                  <pic:spPr bwMode="auto">
                    <a:xfrm>
                      <a:off x="0" y="0"/>
                      <a:ext cx="4287520" cy="2933065"/>
                    </a:xfrm>
                    <a:prstGeom prst="rect">
                      <a:avLst/>
                    </a:prstGeom>
                    <a:noFill/>
                    <a:ln w="9525">
                      <a:noFill/>
                      <a:miter lim="800000"/>
                      <a:headEnd/>
                      <a:tailEnd/>
                    </a:ln>
                  </pic:spPr>
                </pic:pic>
              </a:graphicData>
            </a:graphic>
          </wp:inline>
        </w:drawing>
      </w:r>
    </w:p>
    <w:p w:rsidR="00E271F0" w:rsidRDefault="00E271F0" w:rsidP="00E271F0">
      <w:pPr>
        <w:pStyle w:val="phototxt"/>
        <w:spacing w:before="0" w:beforeAutospacing="0" w:after="0" w:afterAutospacing="0"/>
        <w:jc w:val="center"/>
        <w:rPr>
          <w:rFonts w:ascii="Arial" w:hAnsi="Arial" w:cs="Arial"/>
          <w:b/>
          <w:i/>
          <w:sz w:val="16"/>
          <w:szCs w:val="16"/>
          <w:lang w:val="en-GB"/>
        </w:rPr>
      </w:pPr>
      <w:r w:rsidRPr="00E271F0">
        <w:rPr>
          <w:rFonts w:ascii="Arial" w:hAnsi="Arial" w:cs="Arial"/>
          <w:b/>
          <w:i/>
          <w:sz w:val="16"/>
          <w:szCs w:val="16"/>
          <w:lang w:val="en-GB"/>
        </w:rPr>
        <w:t>“Tuftex α” is suitable for reclaimer</w:t>
      </w:r>
    </w:p>
    <w:p w:rsidR="00E271F0" w:rsidRDefault="00E271F0">
      <w:pPr>
        <w:rPr>
          <w:rFonts w:ascii="Arial" w:hAnsi="Arial" w:cs="Arial"/>
          <w:b/>
          <w:i/>
          <w:sz w:val="16"/>
          <w:szCs w:val="16"/>
          <w:lang w:val="en-GB"/>
        </w:rPr>
      </w:pPr>
      <w:r>
        <w:rPr>
          <w:rFonts w:ascii="Arial" w:hAnsi="Arial" w:cs="Arial"/>
          <w:b/>
          <w:i/>
          <w:sz w:val="16"/>
          <w:szCs w:val="16"/>
          <w:lang w:val="en-GB"/>
        </w:rPr>
        <w:br w:type="page"/>
      </w:r>
    </w:p>
    <w:p w:rsidR="00E271F0" w:rsidRPr="00E271F0" w:rsidRDefault="00E271F0" w:rsidP="00E271F0">
      <w:pPr>
        <w:pStyle w:val="phototxt"/>
        <w:spacing w:before="0" w:beforeAutospacing="0" w:after="0" w:afterAutospacing="0"/>
        <w:jc w:val="center"/>
        <w:rPr>
          <w:rFonts w:ascii="Arial" w:hAnsi="Arial" w:cs="Arial"/>
          <w:b/>
          <w:i/>
          <w:lang w:val="en-GB"/>
        </w:rPr>
      </w:pPr>
    </w:p>
    <w:p w:rsidR="00E271F0" w:rsidRPr="00E271F0" w:rsidRDefault="00E271F0" w:rsidP="00E271F0">
      <w:pPr>
        <w:pStyle w:val="phototxt"/>
        <w:spacing w:before="0" w:beforeAutospacing="0" w:after="0" w:afterAutospacing="0"/>
        <w:jc w:val="center"/>
        <w:rPr>
          <w:rFonts w:ascii="Arial" w:hAnsi="Arial" w:cs="Arial"/>
          <w:b/>
          <w:i/>
          <w:lang w:val="en-GB"/>
        </w:rPr>
      </w:pPr>
    </w:p>
    <w:p w:rsidR="00E271F0" w:rsidRPr="00E271F0" w:rsidRDefault="00E271F0" w:rsidP="00E271F0">
      <w:pPr>
        <w:jc w:val="center"/>
        <w:rPr>
          <w:rFonts w:ascii="Arial" w:hAnsi="Arial" w:cs="Arial"/>
          <w:b/>
          <w:i/>
          <w:sz w:val="16"/>
          <w:szCs w:val="16"/>
          <w:lang w:val="en-GB"/>
        </w:rPr>
      </w:pPr>
      <w:r w:rsidRPr="00E271F0">
        <w:rPr>
          <w:rFonts w:ascii="Arial" w:hAnsi="Arial" w:cs="Arial"/>
          <w:b/>
          <w:i/>
          <w:noProof/>
          <w:sz w:val="16"/>
          <w:szCs w:val="16"/>
          <w:lang w:val="en-GB"/>
        </w:rPr>
        <w:drawing>
          <wp:inline distT="0" distB="0" distL="0" distR="0">
            <wp:extent cx="4287520" cy="2078990"/>
            <wp:effectExtent l="19050" t="0" r="0" b="0"/>
            <wp:docPr id="2" name="Bild 2" descr="Abrasion-resistance comparison “Tuftex α” and Super Wear Resistant cover compound (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rasion-resistance comparison “Tuftex α” and Super Wear Resistant cover compound (Index)"/>
                    <pic:cNvPicPr>
                      <a:picLocks noChangeAspect="1" noChangeArrowheads="1"/>
                    </pic:cNvPicPr>
                  </pic:nvPicPr>
                  <pic:blipFill>
                    <a:blip r:embed="rId8" cstate="print"/>
                    <a:srcRect/>
                    <a:stretch>
                      <a:fillRect/>
                    </a:stretch>
                  </pic:blipFill>
                  <pic:spPr bwMode="auto">
                    <a:xfrm>
                      <a:off x="0" y="0"/>
                      <a:ext cx="4287520" cy="2078990"/>
                    </a:xfrm>
                    <a:prstGeom prst="rect">
                      <a:avLst/>
                    </a:prstGeom>
                    <a:noFill/>
                    <a:ln w="9525">
                      <a:noFill/>
                      <a:miter lim="800000"/>
                      <a:headEnd/>
                      <a:tailEnd/>
                    </a:ln>
                  </pic:spPr>
                </pic:pic>
              </a:graphicData>
            </a:graphic>
          </wp:inline>
        </w:drawing>
      </w:r>
    </w:p>
    <w:p w:rsidR="00E271F0" w:rsidRDefault="00E271F0" w:rsidP="00E271F0">
      <w:pPr>
        <w:pStyle w:val="phototxt"/>
        <w:spacing w:before="0" w:beforeAutospacing="0" w:after="0" w:afterAutospacing="0"/>
        <w:jc w:val="center"/>
        <w:rPr>
          <w:rFonts w:ascii="Arial" w:hAnsi="Arial" w:cs="Arial"/>
          <w:b/>
          <w:i/>
          <w:lang w:val="en-GB"/>
        </w:rPr>
      </w:pPr>
      <w:r w:rsidRPr="00E271F0">
        <w:rPr>
          <w:rFonts w:ascii="Arial" w:hAnsi="Arial" w:cs="Arial"/>
          <w:b/>
          <w:i/>
          <w:sz w:val="16"/>
          <w:szCs w:val="16"/>
          <w:lang w:val="en-GB"/>
        </w:rPr>
        <w:t>Abrasion-resistance comparison “Tuftex α” and Super Wear Resistant cover compound (Index)</w:t>
      </w:r>
    </w:p>
    <w:p w:rsidR="00E271F0" w:rsidRPr="00E271F0" w:rsidRDefault="00E271F0" w:rsidP="00E271F0">
      <w:pPr>
        <w:pStyle w:val="phototxt"/>
        <w:spacing w:before="0" w:beforeAutospacing="0" w:after="0" w:afterAutospacing="0"/>
        <w:jc w:val="center"/>
        <w:rPr>
          <w:rFonts w:ascii="Arial" w:hAnsi="Arial" w:cs="Arial"/>
          <w:b/>
          <w:i/>
          <w:lang w:val="en-GB"/>
        </w:rPr>
      </w:pPr>
    </w:p>
    <w:p w:rsidR="00E271F0" w:rsidRPr="00E271F0" w:rsidRDefault="00E271F0" w:rsidP="00E271F0">
      <w:pPr>
        <w:jc w:val="center"/>
        <w:rPr>
          <w:rFonts w:ascii="Arial" w:hAnsi="Arial" w:cs="Arial"/>
          <w:b/>
          <w:i/>
          <w:sz w:val="16"/>
          <w:szCs w:val="16"/>
          <w:lang w:val="en-GB"/>
        </w:rPr>
      </w:pPr>
      <w:r w:rsidRPr="00E271F0">
        <w:rPr>
          <w:rFonts w:ascii="Arial" w:hAnsi="Arial" w:cs="Arial"/>
          <w:b/>
          <w:i/>
          <w:noProof/>
          <w:sz w:val="16"/>
          <w:szCs w:val="16"/>
          <w:lang w:val="en-GB"/>
        </w:rPr>
        <w:drawing>
          <wp:inline distT="0" distB="0" distL="0" distR="0">
            <wp:extent cx="4287520" cy="1544320"/>
            <wp:effectExtent l="19050" t="0" r="0" b="0"/>
            <wp:docPr id="1" name="Bild 3" descr="Brand logo of “Tuft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d logo of “Tuftex”"/>
                    <pic:cNvPicPr>
                      <a:picLocks noChangeAspect="1" noChangeArrowheads="1"/>
                    </pic:cNvPicPr>
                  </pic:nvPicPr>
                  <pic:blipFill>
                    <a:blip r:embed="rId9" cstate="print"/>
                    <a:srcRect/>
                    <a:stretch>
                      <a:fillRect/>
                    </a:stretch>
                  </pic:blipFill>
                  <pic:spPr bwMode="auto">
                    <a:xfrm>
                      <a:off x="0" y="0"/>
                      <a:ext cx="4287520" cy="1544320"/>
                    </a:xfrm>
                    <a:prstGeom prst="rect">
                      <a:avLst/>
                    </a:prstGeom>
                    <a:noFill/>
                    <a:ln w="9525">
                      <a:noFill/>
                      <a:miter lim="800000"/>
                      <a:headEnd/>
                      <a:tailEnd/>
                    </a:ln>
                  </pic:spPr>
                </pic:pic>
              </a:graphicData>
            </a:graphic>
          </wp:inline>
        </w:drawing>
      </w:r>
    </w:p>
    <w:p w:rsidR="006B1CB9" w:rsidRPr="00E271F0" w:rsidRDefault="00E271F0" w:rsidP="00E271F0">
      <w:pPr>
        <w:pStyle w:val="phototxt"/>
        <w:spacing w:before="0" w:beforeAutospacing="0" w:after="0" w:afterAutospacing="0"/>
        <w:jc w:val="center"/>
        <w:rPr>
          <w:rFonts w:ascii="Arial" w:hAnsi="Arial" w:cs="Arial"/>
          <w:b/>
          <w:i/>
          <w:sz w:val="16"/>
          <w:szCs w:val="16"/>
          <w:lang w:val="en-GB"/>
        </w:rPr>
      </w:pPr>
      <w:r w:rsidRPr="00E271F0">
        <w:rPr>
          <w:rFonts w:ascii="Arial" w:hAnsi="Arial" w:cs="Arial"/>
          <w:b/>
          <w:i/>
          <w:sz w:val="16"/>
          <w:szCs w:val="16"/>
          <w:lang w:val="en-GB"/>
        </w:rPr>
        <w:t>Brand logo of “Tuftex”</w:t>
      </w:r>
    </w:p>
    <w:sectPr w:rsidR="006B1CB9" w:rsidRPr="00E271F0" w:rsidSect="00C22B32">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10B5" w:rsidRDefault="00E810B5" w:rsidP="00B25742">
      <w:r>
        <w:separator/>
      </w:r>
    </w:p>
  </w:endnote>
  <w:endnote w:type="continuationSeparator" w:id="0">
    <w:p w:rsidR="00E810B5" w:rsidRDefault="00E810B5"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6D61AA">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10B5" w:rsidRDefault="00E810B5" w:rsidP="00B25742">
      <w:r>
        <w:separator/>
      </w:r>
    </w:p>
  </w:footnote>
  <w:footnote w:type="continuationSeparator" w:id="0">
    <w:p w:rsidR="00E810B5" w:rsidRDefault="00E810B5"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6D61AA">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77297"/>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1330"/>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2E8B"/>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03E6"/>
    <w:rsid w:val="005F1E73"/>
    <w:rsid w:val="005F58F9"/>
    <w:rsid w:val="006008EC"/>
    <w:rsid w:val="006014A2"/>
    <w:rsid w:val="006156B5"/>
    <w:rsid w:val="00617FE7"/>
    <w:rsid w:val="00621BFD"/>
    <w:rsid w:val="0063001A"/>
    <w:rsid w:val="006323CF"/>
    <w:rsid w:val="00646328"/>
    <w:rsid w:val="00656B27"/>
    <w:rsid w:val="006635D5"/>
    <w:rsid w:val="00670EE4"/>
    <w:rsid w:val="0067108A"/>
    <w:rsid w:val="00683969"/>
    <w:rsid w:val="00690553"/>
    <w:rsid w:val="00694568"/>
    <w:rsid w:val="006B1CB9"/>
    <w:rsid w:val="006D61AA"/>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31126"/>
    <w:rsid w:val="00842850"/>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C19FB"/>
    <w:rsid w:val="00DD0D96"/>
    <w:rsid w:val="00DE325A"/>
    <w:rsid w:val="00DF4379"/>
    <w:rsid w:val="00E01BDE"/>
    <w:rsid w:val="00E12D3E"/>
    <w:rsid w:val="00E20F25"/>
    <w:rsid w:val="00E211BC"/>
    <w:rsid w:val="00E229FF"/>
    <w:rsid w:val="00E271F0"/>
    <w:rsid w:val="00E35CD6"/>
    <w:rsid w:val="00E5238B"/>
    <w:rsid w:val="00E54D8D"/>
    <w:rsid w:val="00E67B6E"/>
    <w:rsid w:val="00E810B5"/>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6B1CB9"/>
    <w:pPr>
      <w:keepNext/>
      <w:keepLines/>
      <w:spacing w:before="200"/>
      <w:outlineLvl w:val="2"/>
    </w:pPr>
    <w:rPr>
      <w:rFonts w:asciiTheme="majorHAnsi" w:eastAsiaTheme="majorEastAsia" w:hAnsiTheme="majorHAnsi" w:cstheme="majorBidi"/>
      <w:b/>
      <w:bCs/>
      <w:color w:val="4F81BD" w:themeColor="accent1"/>
    </w:rPr>
  </w:style>
  <w:style w:type="paragraph" w:styleId="berschrift6">
    <w:name w:val="heading 6"/>
    <w:basedOn w:val="Standard"/>
    <w:next w:val="Standard"/>
    <w:link w:val="berschrift6Zchn"/>
    <w:uiPriority w:val="9"/>
    <w:unhideWhenUsed/>
    <w:qFormat/>
    <w:rsid w:val="00670EE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customStyle="1" w:styleId="berschrift3Zchn">
    <w:name w:val="Überschrift 3 Zchn"/>
    <w:basedOn w:val="Absatz-Standardschriftart"/>
    <w:link w:val="berschrift3"/>
    <w:uiPriority w:val="9"/>
    <w:semiHidden/>
    <w:rsid w:val="006B1CB9"/>
    <w:rPr>
      <w:rFonts w:asciiTheme="majorHAnsi" w:eastAsiaTheme="majorEastAsia" w:hAnsiTheme="majorHAnsi" w:cstheme="majorBidi"/>
      <w:b/>
      <w:bCs/>
      <w:color w:val="4F81BD" w:themeColor="accent1"/>
      <w:sz w:val="24"/>
      <w:szCs w:val="24"/>
    </w:rPr>
  </w:style>
  <w:style w:type="table" w:styleId="Tabellengitternetz">
    <w:name w:val="Table Grid"/>
    <w:basedOn w:val="NormaleTabelle"/>
    <w:uiPriority w:val="59"/>
    <w:rsid w:val="006B1C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6Zchn">
    <w:name w:val="Überschrift 6 Zchn"/>
    <w:basedOn w:val="Absatz-Standardschriftart"/>
    <w:link w:val="berschrift6"/>
    <w:uiPriority w:val="9"/>
    <w:rsid w:val="00670EE4"/>
    <w:rPr>
      <w:rFonts w:asciiTheme="majorHAnsi" w:eastAsiaTheme="majorEastAsia" w:hAnsiTheme="majorHAnsi" w:cstheme="majorBidi"/>
      <w:i/>
      <w:iCs/>
      <w:color w:val="243F60" w:themeColor="accent1" w:themeShade="7F"/>
      <w:sz w:val="24"/>
      <w:szCs w:val="24"/>
    </w:rPr>
  </w:style>
  <w:style w:type="paragraph" w:customStyle="1" w:styleId="phototxt">
    <w:name w:val="photo_txt"/>
    <w:basedOn w:val="Standard"/>
    <w:rsid w:val="00E271F0"/>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1974206">
      <w:bodyDiv w:val="1"/>
      <w:marLeft w:val="0"/>
      <w:marRight w:val="0"/>
      <w:marTop w:val="0"/>
      <w:marBottom w:val="0"/>
      <w:divBdr>
        <w:top w:val="none" w:sz="0" w:space="0" w:color="auto"/>
        <w:left w:val="none" w:sz="0" w:space="0" w:color="auto"/>
        <w:bottom w:val="none" w:sz="0" w:space="0" w:color="auto"/>
        <w:right w:val="none" w:sz="0" w:space="0" w:color="auto"/>
      </w:divBdr>
      <w:divsChild>
        <w:div w:id="319508281">
          <w:marLeft w:val="0"/>
          <w:marRight w:val="0"/>
          <w:marTop w:val="0"/>
          <w:marBottom w:val="0"/>
          <w:divBdr>
            <w:top w:val="none" w:sz="0" w:space="0" w:color="auto"/>
            <w:left w:val="none" w:sz="0" w:space="0" w:color="auto"/>
            <w:bottom w:val="none" w:sz="0" w:space="0" w:color="auto"/>
            <w:right w:val="none" w:sz="0" w:space="0" w:color="auto"/>
          </w:divBdr>
        </w:div>
        <w:div w:id="1602027995">
          <w:marLeft w:val="0"/>
          <w:marRight w:val="0"/>
          <w:marTop w:val="0"/>
          <w:marBottom w:val="0"/>
          <w:divBdr>
            <w:top w:val="none" w:sz="0" w:space="0" w:color="auto"/>
            <w:left w:val="none" w:sz="0" w:space="0" w:color="auto"/>
            <w:bottom w:val="none" w:sz="0" w:space="0" w:color="auto"/>
            <w:right w:val="none" w:sz="0" w:space="0" w:color="auto"/>
          </w:divBdr>
        </w:div>
      </w:divsChild>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11839998">
      <w:bodyDiv w:val="1"/>
      <w:marLeft w:val="0"/>
      <w:marRight w:val="0"/>
      <w:marTop w:val="0"/>
      <w:marBottom w:val="0"/>
      <w:divBdr>
        <w:top w:val="none" w:sz="0" w:space="0" w:color="auto"/>
        <w:left w:val="none" w:sz="0" w:space="0" w:color="auto"/>
        <w:bottom w:val="none" w:sz="0" w:space="0" w:color="auto"/>
        <w:right w:val="none" w:sz="0" w:space="0" w:color="auto"/>
      </w:divBdr>
      <w:divsChild>
        <w:div w:id="752236426">
          <w:marLeft w:val="0"/>
          <w:marRight w:val="0"/>
          <w:marTop w:val="0"/>
          <w:marBottom w:val="0"/>
          <w:divBdr>
            <w:top w:val="none" w:sz="0" w:space="0" w:color="auto"/>
            <w:left w:val="none" w:sz="0" w:space="0" w:color="auto"/>
            <w:bottom w:val="none" w:sz="0" w:space="0" w:color="auto"/>
            <w:right w:val="none" w:sz="0" w:space="0" w:color="auto"/>
          </w:divBdr>
        </w:div>
        <w:div w:id="90051607">
          <w:marLeft w:val="0"/>
          <w:marRight w:val="0"/>
          <w:marTop w:val="0"/>
          <w:marBottom w:val="0"/>
          <w:divBdr>
            <w:top w:val="none" w:sz="0" w:space="0" w:color="auto"/>
            <w:left w:val="none" w:sz="0" w:space="0" w:color="auto"/>
            <w:bottom w:val="none" w:sz="0" w:space="0" w:color="auto"/>
            <w:right w:val="none" w:sz="0" w:space="0" w:color="auto"/>
          </w:divBdr>
          <w:divsChild>
            <w:div w:id="295264141">
              <w:marLeft w:val="0"/>
              <w:marRight w:val="0"/>
              <w:marTop w:val="0"/>
              <w:marBottom w:val="0"/>
              <w:divBdr>
                <w:top w:val="none" w:sz="0" w:space="0" w:color="auto"/>
                <w:left w:val="none" w:sz="0" w:space="0" w:color="auto"/>
                <w:bottom w:val="none" w:sz="0" w:space="0" w:color="auto"/>
                <w:right w:val="none" w:sz="0" w:space="0" w:color="auto"/>
              </w:divBdr>
              <w:divsChild>
                <w:div w:id="1320427382">
                  <w:marLeft w:val="0"/>
                  <w:marRight w:val="0"/>
                  <w:marTop w:val="0"/>
                  <w:marBottom w:val="0"/>
                  <w:divBdr>
                    <w:top w:val="none" w:sz="0" w:space="0" w:color="auto"/>
                    <w:left w:val="none" w:sz="0" w:space="0" w:color="auto"/>
                    <w:bottom w:val="none" w:sz="0" w:space="0" w:color="auto"/>
                    <w:right w:val="none" w:sz="0" w:space="0" w:color="auto"/>
                  </w:divBdr>
                </w:div>
              </w:divsChild>
            </w:div>
            <w:div w:id="2084793042">
              <w:marLeft w:val="0"/>
              <w:marRight w:val="0"/>
              <w:marTop w:val="0"/>
              <w:marBottom w:val="0"/>
              <w:divBdr>
                <w:top w:val="none" w:sz="0" w:space="0" w:color="auto"/>
                <w:left w:val="none" w:sz="0" w:space="0" w:color="auto"/>
                <w:bottom w:val="none" w:sz="0" w:space="0" w:color="auto"/>
                <w:right w:val="none" w:sz="0" w:space="0" w:color="auto"/>
              </w:divBdr>
              <w:divsChild>
                <w:div w:id="1534224461">
                  <w:marLeft w:val="0"/>
                  <w:marRight w:val="0"/>
                  <w:marTop w:val="0"/>
                  <w:marBottom w:val="0"/>
                  <w:divBdr>
                    <w:top w:val="none" w:sz="0" w:space="0" w:color="auto"/>
                    <w:left w:val="none" w:sz="0" w:space="0" w:color="auto"/>
                    <w:bottom w:val="none" w:sz="0" w:space="0" w:color="auto"/>
                    <w:right w:val="none" w:sz="0" w:space="0" w:color="auto"/>
                  </w:divBdr>
                </w:div>
              </w:divsChild>
            </w:div>
            <w:div w:id="659239049">
              <w:marLeft w:val="0"/>
              <w:marRight w:val="0"/>
              <w:marTop w:val="0"/>
              <w:marBottom w:val="0"/>
              <w:divBdr>
                <w:top w:val="none" w:sz="0" w:space="0" w:color="auto"/>
                <w:left w:val="none" w:sz="0" w:space="0" w:color="auto"/>
                <w:bottom w:val="none" w:sz="0" w:space="0" w:color="auto"/>
                <w:right w:val="none" w:sz="0" w:space="0" w:color="auto"/>
              </w:divBdr>
              <w:divsChild>
                <w:div w:id="46828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6236436">
      <w:bodyDiv w:val="1"/>
      <w:marLeft w:val="0"/>
      <w:marRight w:val="0"/>
      <w:marTop w:val="0"/>
      <w:marBottom w:val="0"/>
      <w:divBdr>
        <w:top w:val="none" w:sz="0" w:space="0" w:color="auto"/>
        <w:left w:val="none" w:sz="0" w:space="0" w:color="auto"/>
        <w:bottom w:val="none" w:sz="0" w:space="0" w:color="auto"/>
        <w:right w:val="none" w:sz="0" w:space="0" w:color="auto"/>
      </w:divBdr>
      <w:divsChild>
        <w:div w:id="1042367382">
          <w:marLeft w:val="0"/>
          <w:marRight w:val="0"/>
          <w:marTop w:val="0"/>
          <w:marBottom w:val="0"/>
          <w:divBdr>
            <w:top w:val="none" w:sz="0" w:space="0" w:color="auto"/>
            <w:left w:val="none" w:sz="0" w:space="0" w:color="auto"/>
            <w:bottom w:val="none" w:sz="0" w:space="0" w:color="auto"/>
            <w:right w:val="none" w:sz="0" w:space="0" w:color="auto"/>
          </w:divBdr>
        </w:div>
        <w:div w:id="1779447016">
          <w:marLeft w:val="0"/>
          <w:marRight w:val="0"/>
          <w:marTop w:val="0"/>
          <w:marBottom w:val="0"/>
          <w:divBdr>
            <w:top w:val="none" w:sz="0" w:space="0" w:color="auto"/>
            <w:left w:val="none" w:sz="0" w:space="0" w:color="auto"/>
            <w:bottom w:val="none" w:sz="0" w:space="0" w:color="auto"/>
            <w:right w:val="none" w:sz="0" w:space="0" w:color="auto"/>
          </w:divBdr>
        </w:div>
      </w:divsChild>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283</Words>
  <Characters>1789</Characters>
  <Application>Microsoft Office Word</Application>
  <DocSecurity>0</DocSecurity>
  <Lines>14</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7</cp:revision>
  <cp:lastPrinted>2014-08-28T15:02:00Z</cp:lastPrinted>
  <dcterms:created xsi:type="dcterms:W3CDTF">2016-08-04T06:40:00Z</dcterms:created>
  <dcterms:modified xsi:type="dcterms:W3CDTF">2016-08-04T07:16:00Z</dcterms:modified>
</cp:coreProperties>
</file>